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РАЙНОННА ИЗБИРАТЕЛНА КОМИСИЯ ЛОВЕЧ</w:t>
      </w: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октомври 2016 г.</w:t>
      </w: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Днес,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октомври 2016 г., в гр. Ловеч, ул. „Търговска”№ 43, стая 412, от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09.30</w:t>
      </w:r>
      <w:r>
        <w:rPr>
          <w:rFonts w:ascii="Times New Roman CYR" w:hAnsi="Times New Roman CYR" w:cs="Times New Roman CYR"/>
          <w:sz w:val="24"/>
          <w:szCs w:val="24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31"/>
        <w:gridCol w:w="5940"/>
      </w:tblGrid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Станислава Гечева Стайкова-Давидова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Младен Минков Близнаков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555EDB" w:rsidTr="00D73633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55EDB" w:rsidRDefault="00555EDB" w:rsidP="00D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Бисер Божидаров Димов</w:t>
            </w:r>
          </w:p>
        </w:tc>
      </w:tr>
    </w:tbl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Присъстват 12 от общо 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члена на Комисията. Отсъства Пенко Найденов Пенков. На основание чл. 70, ал. 3 от Изборния кодекс е налице необходимия кворум и РИК Ловеч може да започне своята работа</w:t>
      </w:r>
      <w:r w:rsidRPr="00A44B2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555EDB" w:rsidRPr="002D11DA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555EDB" w:rsidRPr="00555EDB" w:rsidRDefault="00555EDB" w:rsidP="00555E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55EDB">
        <w:rPr>
          <w:rFonts w:ascii="Times New Roman" w:hAnsi="Times New Roman"/>
          <w:sz w:val="24"/>
          <w:szCs w:val="24"/>
        </w:rPr>
        <w:t xml:space="preserve">Обсъждане на Сигнал от </w:t>
      </w:r>
      <w:r>
        <w:rPr>
          <w:rFonts w:ascii="Times New Roman" w:hAnsi="Times New Roman"/>
          <w:sz w:val="24"/>
          <w:szCs w:val="24"/>
        </w:rPr>
        <w:t>Данчо Костов Заверджиев;</w:t>
      </w:r>
    </w:p>
    <w:p w:rsidR="00555EDB" w:rsidRPr="00555EDB" w:rsidRDefault="00555EDB" w:rsidP="00555E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555EDB">
        <w:rPr>
          <w:rFonts w:ascii="Times New Roman CYR" w:hAnsi="Times New Roman CYR" w:cs="Times New Roman CYR"/>
          <w:sz w:val="24"/>
          <w:szCs w:val="24"/>
          <w:lang w:val="en-US"/>
        </w:rPr>
        <w:t>Разни.</w:t>
      </w:r>
    </w:p>
    <w:p w:rsidR="00555EDB" w:rsidRDefault="00555EDB" w:rsidP="00555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55EDB" w:rsidRDefault="00555EDB" w:rsidP="00555EDB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Председателят подложи на гласуване така обявения дневен ред. Бе проведено гласуване и с 12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„Против”, на основание чл. 72, ал. 1, т. 1 от Изборния кодекс, Районна избирателна комисия Ловеч прие обявения дневен ред.</w:t>
      </w:r>
    </w:p>
    <w:p w:rsidR="00555EDB" w:rsidRDefault="00555EDB" w:rsidP="008D2C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8D2CC6" w:rsidRPr="008D2CC6" w:rsidRDefault="00163C0A" w:rsidP="008D2CC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Председателят докладва за </w:t>
      </w:r>
      <w:r w:rsidR="008D2CC6">
        <w:rPr>
          <w:rFonts w:ascii="Times New Roman" w:eastAsia="Calibri" w:hAnsi="Times New Roman"/>
          <w:sz w:val="24"/>
          <w:szCs w:val="24"/>
          <w:lang w:eastAsia="en-US"/>
        </w:rPr>
        <w:t>постъпил</w:t>
      </w:r>
      <w:r w:rsidR="008D2CC6"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 сигнал от Данчо Заверджиев с правно основание чл. 72, ал. 1, т. 17 от ИК във </w:t>
      </w:r>
      <w:proofErr w:type="spellStart"/>
      <w:r w:rsidR="008D2CC6" w:rsidRPr="008D2CC6">
        <w:rPr>
          <w:rFonts w:ascii="Times New Roman" w:eastAsia="Calibri" w:hAnsi="Times New Roman"/>
          <w:sz w:val="24"/>
          <w:szCs w:val="24"/>
          <w:lang w:eastAsia="en-US"/>
        </w:rPr>
        <w:t>вр</w:t>
      </w:r>
      <w:proofErr w:type="spellEnd"/>
      <w:r w:rsidR="008D2CC6"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. с чл. 72, ал. 1, т. 20 от ИК за нарушение на чл. 180 от ИК. В сигнала се посочва, че на официалната интернет страница на община Ловеч на 14.10.2016 </w:t>
      </w:r>
      <w:r w:rsidR="003655C9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8D2CC6"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. е публикуван </w:t>
      </w:r>
      <w:bookmarkStart w:id="0" w:name="_GoBack"/>
      <w:bookmarkEnd w:id="0"/>
      <w:r w:rsidR="008D2CC6"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следния материал: Кметът Корнелия Маринова посрещна с голям стилен букет своята приятелка Цецка Цачева. Кметът на Община </w:t>
      </w:r>
      <w:r w:rsidR="008D2CC6" w:rsidRPr="008D2CC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Ловеч Корнелия Маринова посрещна снощи с голям стилен букет своята приятелка Цецка Цачева, която в момента е кандидат-президент на ГЕРБ. Двете дами са колеги от 42-ри и 43-то Народно събрание и са свързани с общи каузи и житейски път. Както е известно, Цецка Цачева е родена в село Драгана, област Ловеч. Кандидат-президентската двойка на партия ГЕРБ – Цецка Цачева и вицеадмирал Пламен Манушев бяха представени пред пълния с привърженици площад от Цветан Цветанов – председател на Националния предизборен щаб на ГЕРБ и </w:t>
      </w:r>
      <w:proofErr w:type="spellStart"/>
      <w:r w:rsidR="008D2CC6" w:rsidRPr="008D2CC6">
        <w:rPr>
          <w:rFonts w:ascii="Times New Roman" w:eastAsia="Calibri" w:hAnsi="Times New Roman"/>
          <w:sz w:val="24"/>
          <w:szCs w:val="24"/>
          <w:lang w:eastAsia="en-US"/>
        </w:rPr>
        <w:t>зам-председател</w:t>
      </w:r>
      <w:proofErr w:type="spellEnd"/>
      <w:r w:rsidR="008D2CC6"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 на партията. Той покани на сцената и всички кметове на ГЕРБ от областта, като подчерта ролята на избирателите за този резултат. В словото си Цветан Цветанов подчерта личния принос на Николай Нанков и Корнелия Маринова, бивши депутати, сега съответно заместник-министър и кмет. Предизборният митинг-концерт на площад „Екзарх Йосиф Първи“ премина с голям успех. Присъстващите дълго време не се разделяха с любимите си политици, правеха се снимки  и се вземаха автографи“ в раздел „Актуално“ – „Новини“. Счита, че е налице нарушение и на чл. 180 от ИК, тъй като Община Ловеч като доставчик на медийна услуга не е обявила на интернет страницата си информация за договорите, в т.ч. безвъзмездните договори, сключени с партиите, коалициите и инициативните комитети, регистрирали кандидати, и/или с друг възложител във връзка с предизборната кампания, включително ако договорът е сключен с посредник. Иска РИК да се произнесе по отношение на това нарушение в </w:t>
      </w:r>
      <w:proofErr w:type="spellStart"/>
      <w:r w:rsidR="008D2CC6" w:rsidRPr="008D2CC6">
        <w:rPr>
          <w:rFonts w:ascii="Times New Roman" w:eastAsia="Calibri" w:hAnsi="Times New Roman"/>
          <w:sz w:val="24"/>
          <w:szCs w:val="24"/>
          <w:lang w:eastAsia="en-US"/>
        </w:rPr>
        <w:t>законоустановените</w:t>
      </w:r>
      <w:proofErr w:type="spellEnd"/>
      <w:r w:rsidR="008D2CC6"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 срокове.</w:t>
      </w:r>
    </w:p>
    <w:p w:rsidR="008D2CC6" w:rsidRPr="008D2CC6" w:rsidRDefault="008D2CC6" w:rsidP="008D2CC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Съгласно чл. 180 от ИК доставчиците на медийни услуги са длъжни да обявят на интернет страниците си информация за договорите, в т.ч. безвъзмездните договори, сключени с партиите, коалициите и инициативните комитети, регистрирали кандидати, и/или с друг възложител във връзка с предизборната кампания, включително ако договорът е сключен с посредник. </w:t>
      </w:r>
    </w:p>
    <w:p w:rsidR="008D2CC6" w:rsidRPr="008D2CC6" w:rsidRDefault="008D2CC6" w:rsidP="008D2CC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2CC6">
        <w:rPr>
          <w:rFonts w:ascii="Times New Roman" w:eastAsia="Calibri" w:hAnsi="Times New Roman"/>
          <w:sz w:val="24"/>
          <w:szCs w:val="24"/>
          <w:lang w:eastAsia="en-US"/>
        </w:rPr>
        <w:t>Съгласно ал. 4 информацията се публикува на интернет страницата на доставчиците в тридневен срок от сключването на съответния договор и се премахва не по-рано от обявяването на резултатите от изборите.</w:t>
      </w:r>
    </w:p>
    <w:p w:rsidR="008D2CC6" w:rsidRPr="008D2CC6" w:rsidRDefault="008D2CC6" w:rsidP="008D2CC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Безспорен факт е, че Община Ловеч поддържа интернет страница, в която служи за информиране на обществото относно дейността на администрацията, предлагани услуги, актуални събития. </w:t>
      </w:r>
    </w:p>
    <w:p w:rsidR="008D2CC6" w:rsidRPr="008D2CC6" w:rsidRDefault="008D2CC6" w:rsidP="008D2CC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Задължението за публикуване по чл. 180 от ИК се прилага за всички доставчици на медийни услуги.  Контролът върху дейността на доставчиците съгласно Раздел </w:t>
      </w:r>
      <w:r w:rsidRPr="008D2CC6">
        <w:rPr>
          <w:rFonts w:ascii="Times New Roman" w:eastAsia="Calibri" w:hAnsi="Times New Roman"/>
          <w:sz w:val="24"/>
          <w:szCs w:val="24"/>
          <w:lang w:val="en-US" w:eastAsia="en-US"/>
        </w:rPr>
        <w:t>VI</w:t>
      </w:r>
      <w:r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 „Оспорване при нарушаване на реда за провеждане на предизборната кампания“ се извършва от ЦИК за доставчик с лицензия с национален обхват или когато нарушението е извършено в повече от един изборен район или се извършва от РИК по седалището на доставчика, когато доставчикът има лицензия или регистрация с регионален или местен обхват. </w:t>
      </w:r>
    </w:p>
    <w:p w:rsidR="008D2CC6" w:rsidRPr="008D2CC6" w:rsidRDefault="008D2CC6" w:rsidP="008D2CC6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Съгласно определението, посочено в § 1, т. 16 от ИК „доставчик на медийна услуга“ е физическо лице – едноличен търговец, или юридическо лице, което носи редакционна отговорност за избора и съдържанието на медийната услуга и определя начина, по който тя е организирана. Определението за „медийна услуга“ е посочено в § </w:t>
      </w:r>
      <w:r w:rsidRPr="008D2CC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1, т. 15 от ИК като „създаване и разпространение на информация и съдържание, предназначени за значителна част от аудиторията и с ясно въздействие върху нея, независимо от средствата и технологията, използвани за решаването им. Изрично е посочено и какво конкретно е медийна услуга, а именно това са: </w:t>
      </w:r>
    </w:p>
    <w:p w:rsidR="008D2CC6" w:rsidRPr="008D2CC6" w:rsidRDefault="008D2CC6" w:rsidP="008D2CC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2CC6">
        <w:rPr>
          <w:rFonts w:ascii="Times New Roman" w:eastAsia="Calibri" w:hAnsi="Times New Roman"/>
          <w:sz w:val="24"/>
          <w:szCs w:val="24"/>
          <w:lang w:eastAsia="en-US"/>
        </w:rPr>
        <w:t>а/печатните медии-вестници, списания и други периодични издания;</w:t>
      </w:r>
    </w:p>
    <w:p w:rsidR="008D2CC6" w:rsidRPr="008D2CC6" w:rsidRDefault="008D2CC6" w:rsidP="008D2CC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2CC6">
        <w:rPr>
          <w:rFonts w:ascii="Times New Roman" w:eastAsia="Calibri" w:hAnsi="Times New Roman"/>
          <w:sz w:val="24"/>
          <w:szCs w:val="24"/>
          <w:lang w:eastAsia="en-US"/>
        </w:rPr>
        <w:t>б/медиите, разпространявани чрез електронни съобщителни мрежи, като:</w:t>
      </w:r>
    </w:p>
    <w:p w:rsidR="008D2CC6" w:rsidRPr="008D2CC6" w:rsidRDefault="008D2CC6" w:rsidP="008D2CC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D2CC6">
        <w:rPr>
          <w:rFonts w:ascii="Times New Roman" w:eastAsia="Calibri" w:hAnsi="Times New Roman"/>
          <w:sz w:val="24"/>
          <w:szCs w:val="24"/>
          <w:lang w:eastAsia="en-US"/>
        </w:rPr>
        <w:t>аа</w:t>
      </w:r>
      <w:proofErr w:type="spellEnd"/>
      <w:r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/обществените и търговските електронни медии –лицензираните или регистрираните обществени или търговски доставчици на аудио-визуални медийни услуги или </w:t>
      </w:r>
      <w:proofErr w:type="spellStart"/>
      <w:r w:rsidRPr="008D2CC6">
        <w:rPr>
          <w:rFonts w:ascii="Times New Roman" w:eastAsia="Calibri" w:hAnsi="Times New Roman"/>
          <w:sz w:val="24"/>
          <w:szCs w:val="24"/>
          <w:lang w:eastAsia="en-US"/>
        </w:rPr>
        <w:t>радиоуслуги</w:t>
      </w:r>
      <w:proofErr w:type="spellEnd"/>
      <w:r w:rsidRPr="008D2CC6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D2CC6" w:rsidRPr="008D2CC6" w:rsidRDefault="008D2CC6" w:rsidP="008D2CC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D2CC6">
        <w:rPr>
          <w:rFonts w:ascii="Times New Roman" w:eastAsia="Calibri" w:hAnsi="Times New Roman"/>
          <w:sz w:val="24"/>
          <w:szCs w:val="24"/>
          <w:lang w:eastAsia="en-US"/>
        </w:rPr>
        <w:t>бб</w:t>
      </w:r>
      <w:proofErr w:type="spellEnd"/>
      <w:r w:rsidRPr="008D2CC6">
        <w:rPr>
          <w:rFonts w:ascii="Times New Roman" w:eastAsia="Calibri" w:hAnsi="Times New Roman"/>
          <w:sz w:val="24"/>
          <w:szCs w:val="24"/>
          <w:lang w:eastAsia="en-US"/>
        </w:rPr>
        <w:t>/онлайн новинарските услуги – електронните издания на вестници, списания, информационни агенции и други електронни издания.</w:t>
      </w:r>
    </w:p>
    <w:p w:rsidR="008D2CC6" w:rsidRPr="008D2CC6" w:rsidRDefault="008D2CC6" w:rsidP="008D2CC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Не са медийни услуги социалните мрежи – </w:t>
      </w:r>
      <w:proofErr w:type="spellStart"/>
      <w:r w:rsidRPr="008D2CC6">
        <w:rPr>
          <w:rFonts w:ascii="Times New Roman" w:eastAsia="Calibri" w:hAnsi="Times New Roman"/>
          <w:sz w:val="24"/>
          <w:szCs w:val="24"/>
          <w:lang w:eastAsia="en-US"/>
        </w:rPr>
        <w:t>фейсбук</w:t>
      </w:r>
      <w:proofErr w:type="spellEnd"/>
      <w:r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D2CC6">
        <w:rPr>
          <w:rFonts w:ascii="Times New Roman" w:eastAsia="Calibri" w:hAnsi="Times New Roman"/>
          <w:sz w:val="24"/>
          <w:szCs w:val="24"/>
          <w:lang w:eastAsia="en-US"/>
        </w:rPr>
        <w:t>туитър</w:t>
      </w:r>
      <w:proofErr w:type="spellEnd"/>
      <w:r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 и други подобни, и личните </w:t>
      </w:r>
      <w:proofErr w:type="spellStart"/>
      <w:r w:rsidRPr="008D2CC6">
        <w:rPr>
          <w:rFonts w:ascii="Times New Roman" w:eastAsia="Calibri" w:hAnsi="Times New Roman"/>
          <w:sz w:val="24"/>
          <w:szCs w:val="24"/>
          <w:lang w:eastAsia="en-US"/>
        </w:rPr>
        <w:t>блогове</w:t>
      </w:r>
      <w:proofErr w:type="spellEnd"/>
      <w:r w:rsidRPr="008D2CC6">
        <w:rPr>
          <w:rFonts w:ascii="Times New Roman" w:eastAsia="Calibri" w:hAnsi="Times New Roman"/>
          <w:sz w:val="24"/>
          <w:szCs w:val="24"/>
          <w:lang w:eastAsia="en-US"/>
        </w:rPr>
        <w:t>.“</w:t>
      </w:r>
    </w:p>
    <w:p w:rsidR="008D2CC6" w:rsidRDefault="008D2CC6" w:rsidP="008D2CC6">
      <w:pPr>
        <w:ind w:firstLine="720"/>
        <w:jc w:val="both"/>
      </w:pPr>
      <w:r w:rsidRPr="008D2CC6">
        <w:rPr>
          <w:rFonts w:ascii="Times New Roman" w:eastAsia="Calibri" w:hAnsi="Times New Roman"/>
          <w:sz w:val="24"/>
          <w:szCs w:val="24"/>
          <w:lang w:eastAsia="en-US"/>
        </w:rPr>
        <w:t xml:space="preserve">Твърди се, че е налице доставчик на медийна услуга в сигнала. РИК Ловеч направи проверка в публичен регистър при Съвет за електронни медии и в Комисия за регулиране на съобщенията. При проверката се установи, че Община Ловеч е регистрирана в СЕМ </w:t>
      </w:r>
      <w:r w:rsidRPr="008D2CC6">
        <w:rPr>
          <w:rFonts w:ascii="Times New Roman" w:hAnsi="Times New Roman"/>
          <w:color w:val="000000"/>
          <w:sz w:val="24"/>
          <w:szCs w:val="24"/>
          <w:lang w:eastAsia="en-US"/>
        </w:rPr>
        <w:t>по отношение на Общинско радио Ловеч с удостоверение за регистрация № ЛРР-02-5-018-01 и начална дата на разпространение 05.08.2009 г. В случая в сигнала се твърди, че е налице нарушение в официалния интернет сайт на Община Ловеч, а не в тази медия. Интернет разпространението не може да бъде ограничено по териториален обхват, така че да може да се направи заключение за медийна услуга с местен или регионален обхват на територията на област Ловеч както това е при медийни услуги като печатни медии, аудио-визуални медийни услуги или радио-услуги. Съгласно чл. 200, ал. 2, т. 1 от ИК жалбата се подава до ЦИК за доставчик с лицензия или регистрация от национален обхват, както и когато нарушението е извършено в повече от един изборен район. В случая попадаме в последната хипотеза на цитираната разпоредба. Друг аргумент е, че при изборите за президент и вицепрезидент на републиката на 6.11.2016 г. съгласно чл. 7, ал. 4 от ИК страната представлява едномандатен избирателен район, т.е. кандидати в тези избори се регистрират на национално ниво от един орган – ЦИК и не може кампанията да се обособи териториално само с един избирателен район.</w:t>
      </w:r>
      <w:r w:rsidRPr="008D2CC6">
        <w:t xml:space="preserve"> </w:t>
      </w:r>
    </w:p>
    <w:p w:rsidR="008D2CC6" w:rsidRPr="008D2CC6" w:rsidRDefault="008D2CC6" w:rsidP="008D2C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Председателят</w:t>
      </w:r>
      <w:r w:rsidRPr="008D2CC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направи предложение за приемане на решение. Предложението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бе подложено на гласуване. С 12</w:t>
      </w:r>
      <w:r w:rsidRPr="008D2CC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на основание чл. 200, ал. 3 от Изборния кодекс, </w:t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Районна избирателна комисия Ловеч</w:t>
      </w:r>
    </w:p>
    <w:p w:rsidR="008D2CC6" w:rsidRPr="008D2CC6" w:rsidRDefault="008D2CC6" w:rsidP="008D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8D2CC6" w:rsidRPr="008D2CC6" w:rsidRDefault="008D2CC6" w:rsidP="008D2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en-US"/>
        </w:rPr>
      </w:pPr>
      <w:r w:rsidRPr="008D2CC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en-US"/>
        </w:rPr>
        <w:t>Р Е Ш И :</w:t>
      </w:r>
    </w:p>
    <w:p w:rsidR="008D2CC6" w:rsidRPr="008D2CC6" w:rsidRDefault="008D2CC6" w:rsidP="008D2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en-US"/>
        </w:rPr>
      </w:pPr>
    </w:p>
    <w:p w:rsidR="008D2CC6" w:rsidRPr="008D2CC6" w:rsidRDefault="008D2CC6" w:rsidP="008D2CC6">
      <w:pPr>
        <w:widowControl w:val="0"/>
        <w:shd w:val="clear" w:color="auto" w:fill="FFFFFF"/>
        <w:autoSpaceDE w:val="0"/>
        <w:autoSpaceDN w:val="0"/>
        <w:adjustRightInd w:val="0"/>
        <w:spacing w:after="0" w:line="138" w:lineRule="atLeast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D2CC6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Изпраща по компетентност на Централна избирателна комисия Сигнал с вх. № 62/19.10.2016 г.; 15:</w:t>
      </w:r>
      <w:proofErr w:type="spellStart"/>
      <w:r w:rsidRPr="008D2CC6">
        <w:rPr>
          <w:rFonts w:ascii="Times New Roman CYR" w:eastAsiaTheme="minorEastAsia" w:hAnsi="Times New Roman CYR" w:cs="Times New Roman CYR"/>
          <w:sz w:val="24"/>
          <w:szCs w:val="24"/>
        </w:rPr>
        <w:t>15</w:t>
      </w:r>
      <w:proofErr w:type="spellEnd"/>
      <w:r w:rsidRPr="008D2CC6">
        <w:rPr>
          <w:rFonts w:ascii="Times New Roman CYR" w:eastAsiaTheme="minorEastAsia" w:hAnsi="Times New Roman CYR" w:cs="Times New Roman CYR"/>
          <w:sz w:val="24"/>
          <w:szCs w:val="24"/>
        </w:rPr>
        <w:t xml:space="preserve"> ч. от Данчо Костов Заверджиев.</w:t>
      </w:r>
    </w:p>
    <w:p w:rsidR="008D2CC6" w:rsidRPr="008D2CC6" w:rsidRDefault="008D2CC6" w:rsidP="008D2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D2CC6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D2CC6" w:rsidRPr="008D2CC6" w:rsidRDefault="008D2CC6" w:rsidP="008D2CC6">
      <w:pPr>
        <w:widowControl w:val="0"/>
        <w:shd w:val="clear" w:color="auto" w:fill="FFFFFF"/>
        <w:autoSpaceDE w:val="0"/>
        <w:autoSpaceDN w:val="0"/>
        <w:adjustRightInd w:val="0"/>
        <w:spacing w:after="0" w:line="138" w:lineRule="atLeast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8D2CC6" w:rsidRPr="008D2CC6" w:rsidRDefault="008D2CC6" w:rsidP="008D2CC6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Не постъпиха предложения за включване в т.Разни. </w:t>
      </w:r>
    </w:p>
    <w:p w:rsidR="008D2CC6" w:rsidRPr="008D2CC6" w:rsidRDefault="008D2CC6" w:rsidP="008D2CC6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След изчерпване на дневния ред заседанието бе закрито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09.40</w:t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часа.</w:t>
      </w:r>
    </w:p>
    <w:p w:rsidR="008D2CC6" w:rsidRPr="008D2CC6" w:rsidRDefault="008D2CC6" w:rsidP="008D2CC6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</w:p>
    <w:p w:rsidR="008D2CC6" w:rsidRPr="008D2CC6" w:rsidRDefault="008D2CC6" w:rsidP="008D2CC6">
      <w:pPr>
        <w:ind w:left="3528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ПРЕДСЕДАТЕЛ:</w:t>
      </w:r>
    </w:p>
    <w:p w:rsidR="008D2CC6" w:rsidRPr="008D2CC6" w:rsidRDefault="008D2CC6" w:rsidP="008D2CC6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  <w:t>/Валентина Недялкова/</w:t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</w:p>
    <w:p w:rsidR="008D2CC6" w:rsidRPr="008D2CC6" w:rsidRDefault="008D2CC6" w:rsidP="008D2CC6">
      <w:pPr>
        <w:ind w:left="4236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СЕКРЕТАР:</w:t>
      </w:r>
    </w:p>
    <w:p w:rsidR="008D2CC6" w:rsidRPr="008D2CC6" w:rsidRDefault="008D2CC6" w:rsidP="008D2CC6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  <w:t>/Фатме Моллова/</w:t>
      </w:r>
      <w:r w:rsidRPr="008D2C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ab/>
      </w:r>
    </w:p>
    <w:p w:rsidR="008D2CC6" w:rsidRPr="008D2CC6" w:rsidRDefault="008D2CC6" w:rsidP="008D2CC6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8D2CC6" w:rsidRDefault="008D2CC6" w:rsidP="00163C0A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D2CC6" w:rsidRDefault="008D2CC6" w:rsidP="00163C0A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D2CC6" w:rsidRDefault="008D2CC6" w:rsidP="00163C0A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07020" w:rsidRDefault="00807020"/>
    <w:sectPr w:rsidR="00807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8B" w:rsidRDefault="00DE7E8B" w:rsidP="003655C9">
      <w:pPr>
        <w:spacing w:after="0" w:line="240" w:lineRule="auto"/>
      </w:pPr>
      <w:r>
        <w:separator/>
      </w:r>
    </w:p>
  </w:endnote>
  <w:endnote w:type="continuationSeparator" w:id="0">
    <w:p w:rsidR="00DE7E8B" w:rsidRDefault="00DE7E8B" w:rsidP="0036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14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5C9" w:rsidRDefault="00365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5C9" w:rsidRDefault="00365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8B" w:rsidRDefault="00DE7E8B" w:rsidP="003655C9">
      <w:pPr>
        <w:spacing w:after="0" w:line="240" w:lineRule="auto"/>
      </w:pPr>
      <w:r>
        <w:separator/>
      </w:r>
    </w:p>
  </w:footnote>
  <w:footnote w:type="continuationSeparator" w:id="0">
    <w:p w:rsidR="00DE7E8B" w:rsidRDefault="00DE7E8B" w:rsidP="0036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2286"/>
    <w:multiLevelType w:val="hybridMultilevel"/>
    <w:tmpl w:val="A742FB0A"/>
    <w:lvl w:ilvl="0" w:tplc="303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8C"/>
    <w:rsid w:val="00163C0A"/>
    <w:rsid w:val="0023348C"/>
    <w:rsid w:val="003655C9"/>
    <w:rsid w:val="00555EDB"/>
    <w:rsid w:val="006139BA"/>
    <w:rsid w:val="006421C0"/>
    <w:rsid w:val="00807020"/>
    <w:rsid w:val="008C7574"/>
    <w:rsid w:val="008D2CC6"/>
    <w:rsid w:val="00952D5A"/>
    <w:rsid w:val="009B69A0"/>
    <w:rsid w:val="00B362A7"/>
    <w:rsid w:val="00DE7E8B"/>
    <w:rsid w:val="00E1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DB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C0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C9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6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C9"/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DB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C0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C9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6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C9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rikuser</cp:lastModifiedBy>
  <cp:revision>12</cp:revision>
  <cp:lastPrinted>2016-10-20T07:04:00Z</cp:lastPrinted>
  <dcterms:created xsi:type="dcterms:W3CDTF">2016-10-19T14:16:00Z</dcterms:created>
  <dcterms:modified xsi:type="dcterms:W3CDTF">2016-10-20T07:06:00Z</dcterms:modified>
</cp:coreProperties>
</file>